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15 vom 12. August 2022</w:t>
      </w:r>
    </w:p>
    <w:p>
      <w:r>
        <w:t>VS Kantonsgericht, 2022-08-12, DE</w:t>
      </w:r>
    </w:p>
    <w:p>
      <w:r>
        <w:rPr>
          <w:b/>
        </w:rPr>
        <w:t xml:space="preserve">Quelle: </w:t>
      </w:r>
      <w:r>
        <w:t>https://mcp.opencaselaw.ch/entscheid/vs_gerichte_S1 22 15</w:t>
      </w:r>
    </w:p>
    <w:p>
      <w:r>
        <w:t>FR: VS_GERICHTE S1 22 15 du 12 août 2022</w:t>
      </w:r>
    </w:p>
    <w:p>
      <w:r>
        <w:t>IT: VS_GERICHTE S1 22 15 del 12 agosto 2022</w:t>
      </w:r>
    </w:p>
    <w:p>
      <w:pPr>
        <w:pStyle w:val="Heading2"/>
      </w:pPr>
      <w:r>
        <w:t>Regeste</w:t>
      </w:r>
    </w:p>
    <w:p>
      <w:r>
        <w:t>S1 22 15 URTEIL VOM 12. AUGUST 2022 Kantonsgericht Wallis Sozialversicherungsrechtliche Abteilung Besetzung: Dr. Thierry Schnyder, Präsident; Candido Prada und Thomas Brunner, Kantonsrichter; Renata Kreuzer, Gerichtsschreiberin in Sachen X _________, 3930 Visp, Beschwerdeführerin, vertreten durch Rechtsanwalt Nicolas Kuonen, 3930 Visp gegen KANTONALE IV-STELLE, 1950 Sitten, Gesuchsgegnerin (Rentenanspruch / berufliche Massnahmen / Elektrobett) Beschwerden gegen die Verfügungen vom 1. und 2. Dezember 2021</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Die Beschwerdefüh- 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w:t>
      </w:r>
    </w:p>
    <w:p>
      <w:r>
        <w:t>Das Versicherungsgericht kann gemäss Art. 11b Abs. 1 i.V.m. Art. 81a VVRG auf Antrag oder von Amtes wegen die Vereinigung von Verfahren anordnen, die auf dem gleichen Sachverhalt oder der gleichen rechtlichen Grundlage beruhen. Dies ist vorliegend der Fall, weshalb die drei Beschwerden von Amtes wegen zu verbinden sind.</w:t>
      </w:r>
    </w:p>
    <w:p>
      <w:r>
        <w:rPr>
          <w:b/>
        </w:rPr>
        <w:t>E. 3.1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 Rechts- folgen führenden Tatbestandes Geltung haben (BGE 140 V 41 E. 6.3.1 S. 44 f. mit Hin- weisen). Bei der Beurteilung von Dauersachverhalten wird im Sozialversicherungsrecht</w:t>
      </w:r>
    </w:p>
    <w:p>
      <w:r>
        <w:t>- 6 - auf den bis zum Zeitpunkt des Erlasses der strittigen Verfügung eingetretenen Sachver- halt abgestellt (vgl. BGE 144 I 81 E. 4.1 S. 86 f.; 132 V 215 E. 3.1.1; Bundesgerichtsurteil 9C_201/2021 vom15. Juni 2021 E. 5.1). Für den hier zu beurteilenden Fall bedeutet das, dass die Ansprüche nach dem bis zum 31. Dezember 2021 geltenden Gesetzesbestim- mungen zu prüfen sind.</w:t>
      </w:r>
    </w:p>
    <w:p>
      <w:r>
        <w:rPr>
          <w:b/>
        </w:rPr>
        <w:t>E. 3.2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3.3</w:t>
      </w:r>
    </w:p>
    <w:p>
      <w:r>
        <w:t>Streitig und zu prüfen ist somit die Frage, ob die Invalidenversicherung den Gesund- heitszustand der Beschwerdeführerin genügend abgeklärt und gestützt darauf eine mas- sgebliche Veränderung desselben und damit den Anspruch auf eine Invalidenrente, auf Umschulungsmassnahmen und auf ein Elektrobett zu Recht verneint hat.</w:t>
      </w:r>
    </w:p>
    <w:p>
      <w:r>
        <w:rPr>
          <w:b/>
        </w:rPr>
        <w:t>E. 4.1</w:t>
      </w:r>
    </w:p>
    <w:p>
      <w:r>
        <w:t>Als Invalidität gilt die aufgrund eines Geburtsgebrechens, Unfalls oder einer Krank- heit voraussichtlich bleibende oder längere Zeit dauernde ganze oder teilweise Erwerbs- unfähigkeit (Art. 4 Abs. 1 aIVG und Art. 8 Abs. 1 ATSG). Nicht jede Invalidität begründet einen Anspruch auf eine Rente. Erforderlich ist eine gewisse Art und Schwere (Art. 4 Abs. 2 aIVG). Seit dem 1. Januar 2004 besteht bei einem Invaliditätsgrad von mindestens 40 % ein Anspruch auf eine Viertelsrente, bei einem solchen von min- destens 50 % ein Anspruch auf eine halbe Rente, bei mindestens 60 % ein Anspruch auf eine Dreiviertelsrente und bei mindestens 70 % ein solcher auf eine ganze Rente (Art. 28 aIVG).</w:t>
      </w:r>
    </w:p>
    <w:p>
      <w:r>
        <w:rPr>
          <w:b/>
        </w:rPr>
        <w:t>E. 4.2</w:t>
      </w:r>
    </w:p>
    <w:p>
      <w:r>
        <w:t>Wurde eine Rente wegen eines zu geringen Invaliditätsgrades verweigert, so wird eine neue Anmeldung nur geprüft, wenn der Versicherte in seinem neuerlichen Gesuch glaubhaft macht, dass sich der Grad seiner Invalidität in einer für den Anspruch erhebli- chen Weise geändert hat (Art. 87 Abs. 3 i.V.m. Abs. 2 IVV). Diese Glaubhaftmachung stellt eine formelle Eintretensvoraussetzung dar, welche verhindern soll, dass sich die Verwaltung immer wieder mit gleichlautenden und nicht näher begründeten Rentenge- suchen befassen muss (BGE 133 V 108 E. 5.3.1). Bei der Prüfung der Eintretensvor- aussetzung der glaubhaft zu machenden Änderung berücksichtigt die Verwaltung,</w:t>
      </w:r>
    </w:p>
    <w:p>
      <w:r>
        <w:t>- 7 - ob die frühere Verfügung nur kurze oder schon längere Zeit zurückliegt, was dement- sprechend an die Glaubhaftmachung höhere oder weniger hohe Anforderungen stellt (Urteil des Bundesgerichts 9C_68/2007 vom 19. Oktober 2007 E. 3.3). Dabei steht ihr ein gewisser Beurteilungsspielraum zu, den der Richter zu respektieren hat (ZAK 1984 S. 350 E. 3). Daher ist im Prozess die Behandlung der Eintretensfrage nur zu prüfen, wenn das Eintreten streitig ist, d.h. wenn die Verwaltung Nichteintreten verfügt hat und der Versicherte hiergegen Beschwerde führt; hingegen unterbleibt insoweit eine richterliche Prüfung, wenn die Verwaltung auf die Neuanmeldung eingetreten ist (BGE 109 V 108 E. 2). Die Frage, ob die Verwaltung auf eine Neuanmeldung eingetreten ist, beurteilt sich nach dem wirklichen rechtlichen Gehalt der Verfügung; entscheidend sind demnach der Umfang und die Qualität der Abklärungsschritte, wobei einfache Ab- klärungen wie das Einholen eines formularmässigen Arztberichtes noch kein materielles Eintreten auf die Neuanmeldung darstellen (Urteile des Bundesgerichts 8C_844/2012 vom 5. Juni 2013 E. 2.1 und I 781/04 vom 17. Februar 2005 E. 3). Tritt die Verwaltung auf die Neuanmeldung ein, so hat sie die Sache materiell abzuklären und sich zu vergewissern, ob die vom Versicherten glaubhaft gemachte Veränderung des Invaliditätsgrades tatsächlich eingetreten ist. Stellt sie fest, dass der Invaliditätsgrad seit Erlass der früheren rechtskräftigen Ablehnungsverfügung keine Veränderung erfah- ren hat, so weist sie das neue Gesuch ab. Andernfalls hat sie zusätzlich zu prüfen, ob nunmehr ein anspruchsbegründender Invaliditätsgrad zu bejahen ist. Im Beschwerdefall obliegt die gleiche materielle Prüfungspflicht dem Richter (BGE 109 V 108 E. 2; 117 V 198 E. 3a).</w:t>
      </w:r>
    </w:p>
    <w:p>
      <w:r>
        <w:rPr>
          <w:b/>
        </w:rPr>
        <w:t>E. 4.3</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125 V 261 E. 4; 115 V 134 E. 2).</w:t>
      </w:r>
    </w:p>
    <w:p>
      <w:r>
        <w:rPr>
          <w:b/>
        </w:rPr>
        <w:t>E. 4.4</w:t>
      </w:r>
    </w:p>
    <w:p>
      <w:r>
        <w:t>Aufgrund des Grundsatzes der freien Beweiswürdigung haben Versicherungsträger und Sozialversicherungsrichter die Beweise frei, d.h. ohne Bindung an förmliche Beweis- regeln, sowie umfassend und pflichtgemäss zu würdigen. Für das Beschwerdeverfahren</w:t>
      </w:r>
    </w:p>
    <w:p>
      <w:r>
        <w:t>- 8 -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Ausschlaggebend für den Beweiswert ist grundsätzlich somit we- der die Herkunft eines Beweismittels noch die Bezeichnung der eingereichten oder in Auftrag gegebenen Stellungnahmen als Bericht oder Gutachten, sondern deren Inhalt (BGE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 den, so sind an die Beweiswürdigung strenge Anforderungen zu stellen. Bestehen auch nur die geringsten Zweifel an der Zuverlässigkeit und Schlüssigkeit der versicherungsin- ternen ärztlichen Feststellungen, so sind ergänzende Abklärungen vorzunehmen (BGE 135 V 465 E. 4.4; Bundesgerichtsurteil 9C_495/2012 vom 4. Oktober 2012 E. 2.3).</w:t>
      </w:r>
    </w:p>
    <w:p>
      <w:r>
        <w:rPr>
          <w:b/>
        </w:rPr>
        <w:t>E. 5</w:t>
      </w:r>
    </w:p>
    <w:p>
      <w:r>
        <w:t>In casu ist das Eintreten der IV-Stelle auf die Neuanmeldung unbestritten, weshalb das Kantonsgericht seinerseits zu überprüfen hat, ob die Invalidenversicherung die Restar- beitsfähigkeit der Beschwerdeführerin richtig beurteilt und einen Rentenanspruch ge- stützt darauf zu Recht verneint hat.</w:t>
      </w:r>
    </w:p>
    <w:p>
      <w:r>
        <w:t>- 9 -</w:t>
      </w:r>
    </w:p>
    <w:p>
      <w:r>
        <w:rPr>
          <w:b/>
        </w:rPr>
        <w:t>E. 5.1</w:t>
      </w:r>
    </w:p>
    <w:p>
      <w:r>
        <w:t>Die IV-Stelle stützte sich für die Beurteilung des Gesundheitszustandes und der Arbeitsfähigkeit auf die Berichte ihres RAD-Arztes, Facharzt für Physikalische Medizin und Rehabilitation, der die Beschwerdeführerin am 1. April 2019 auch persönlich untersucht hatte. Zudem wurden sowohl nach der ersten als auch nach der zweiten IV-Anmeldung Berichte des Hausarztes und der behandelnden Ärzte angefordert und dem RAD-Arzt zur Beurteilung vorgelegt. Eine weitere RAD-Untersuchung erfolgte nicht und es wurde auch kein externes Gutachten durchgeführt. Anlässlich der RAD-Untersuchung vom 1. April 2019 (a.a.O. S. 170ff.) standen hartnä- ckige Rückenschmerzen im LWS-Bereich, tagsüber und auch nachts, mit einer Mor- gensteifigkeit, sowie Fersen- und Gesässschmerzen und eine intermittierend auftre- tende Migräne im Vordergrund. Eine wesentliche Funktionseinschränkung der Wirbel- säule fand sich nicht. In therapeutischer Hinsicht wurden Infiltrationen, Physiotherapie und eine Medikation mit Biologika durchgeführt. Aus dem Schreiben des behandelnden Rheumatologen vom 18. Dezember 2020 (a.a.O. S. 246) und dessen ärztlichem Zeugnis vom 30. März 2021 (a.a.O. S. 245) ergibt sich, dass der Morbus Bechterew unter der medikamentösen Biologika-Therapie mit Cimzia und nach dem Nachlassen der Wirkung mit Enbrel, relativ gut hatte eingestellt werden können. Nach einer weiteren Umstellung auf Cosentyx ab dem 14. Januar 2021 sei die Situation dekompensiert. Die Medikamente wirkten nicht mehr und die Patientin leide unter den Nebenwirkungen. Deshalb meldete der behandelnde Rheumatologe die Beschwerdeführerin zur Einholung einer Zweitmeinung in Bern an. Die Beurteilung in Bern erfolgte am 1. Juli 2021 (a.a.O. S. 265ff.). Als neue Diagnose wurde eine sekundäre Symptomausweitung mit klinischen Zeichen einer Fibromyalgie gestellt. Die komplexen Rückenschmerzen wurden nicht alleine auf den Morbus Bechterew zurückgeführt, son- dern auch auf degenerative Veränderungen der untersten beiden Wirbelsäulenseg- mente und auf eine – ebenfalls neu diagnostizierte – konstitutionelle Hypermobilität. Un- ter der aktuellen medikamentösen Therapie könne keine wesentliche Besserung der Schmerzen erwirkt werden. Es bestünden auch chronische Nacken-, Schulter- und Arm- beschwerden bis in die Hände und Finger, die sich kraftlos und geschwollen anfühlten. Bisweilen könne die Patientin Gegenstände fast nicht halten. Daneben bestünden chro- nische Schmerzen im Lumbalbereich, diffus im Becken, über die Hüften und wechselnd mit Ausstrahlungen bis in die Füsse, links in die Grosszehe und rechts in die laterale Fusskante, sowie diffuse Fersenschmerzen beidseits. Es folgte ein Schmerzassessment im Inselspital. In seinem Schlussbericht vom 6. Oktober 2021, auf den die angefochtene Verfügung sich stützte, äusserte sich der RAD-Arzt ausschliesslich zu den Befunden der</w:t>
      </w:r>
    </w:p>
    <w:p>
      <w:r>
        <w:t>- 10 - Wirbelsäule, die er als unverändert zu seiner Untersuchung vom 1. April 2019 bezeich- nete (a.a.O. S. 323). Ebenfalls in den Stellungnahmen während des Beschwerdeverfah- rens verwies der RAD-Arzt auf seine bisherigen Berichte und auf eine Diskrepanz zwi- schen den objektiven Befunden und den «Lamentelen» der Beschwerdeführerin, die für die Beurteilung einer Veränderung des Gesundheitszustandes nicht zu beachten seien. Die Diagnose einer Fibromyalgie sei nicht belegt, es handle sich um eine blosse Ver- dachtsdiagnose.</w:t>
      </w:r>
    </w:p>
    <w:p>
      <w:r>
        <w:rPr>
          <w:b/>
        </w:rPr>
        <w:t>E. 5.2</w:t>
      </w:r>
    </w:p>
    <w:p>
      <w:r>
        <w:t>Für das Gericht ist es nicht verständlich, aus welchem Grund der RAD-Arzt es un- terliess, der Diagnose einer sekundären Fibromyalgie, die bei Patienten mit entzündli- chen Erkrankungen der Wirbelsäule häufig auftritt (Current Opinion in Rheumatology: July 2017, Volume 29, Issue 4, page 304 – 310), nachzugehen. Diese wurde im Bericht des zweitbeurteilenden Rheumatologen als Diagnose und nicht als blosse Verdachtsdi- agnose gestellt. Auch die Tatsache, dass die medikamentöse Biologika-Therapie nicht mehr wirkte und die Situation seit Januar 2021 dekompensierte, liess der RAD-Arzt aus- ser Acht. Höchstens seine deplatzierte Bemerkung bezüglich der «Lamentelen» der Pa- tientin mag sich unter Umständen darauf beziehen, stellt für das Gericht aber keinen Erkenntnisgewinn dar. Die vom zweitbeurteilenden Rheumatologen geschilderten chro- nischen Nacken-, Schulter- und Armbeschwerden bis in die Hände und Finger, die sich kraftlos und geschwollen anfühlten, blieben ebenfalls unberücksichtigt. Für das erken- nende Gericht ist die Beurteilung des Gesundheitszustandes und der Arbeitsfähigkeit durch den RAD-Arzt im Lichte der Berichte des behandelnden und des zweitbeurteilen- den Rheumatologen nicht nachvollziehbar.</w:t>
      </w:r>
    </w:p>
    <w:p>
      <w:r>
        <w:rPr>
          <w:b/>
        </w:rPr>
        <w:t>E. 5.3</w:t>
      </w:r>
    </w:p>
    <w:p>
      <w:r>
        <w:t>Aufgrund des Gesagten ist festzustellen, dass die IV-Stelle der ihr obliegenden Un- tersuchungspflicht in ungenügender Weise nachgekommen ist. Die Beschwerden sind gutzuheissen und die Sache ist zur Vornahme der notwendigen Abklärungen und zur Neubeurteilung an die IV-Stelle zurückzuweisen. Dabei hat die IV-Stelle den RAD-Arzt auszuwechseln und zu prüfen, ob ein externes Gutachten notwendig ist. Sollte im Rahmen der Abklärungen eine Leistungseinschränkung im Sinne einer Fibromyalgie attestiert werden, wäre ein strukturiertes Beweisverfahren zur Klärung der invalidenversicherungsrechtlichen Relevanz durchzuführen (BGE 141 V 281; Bundesgerichtsurteil 9C_808/2019 vom 18. August 2020 E. 5.2).</w:t>
      </w:r>
    </w:p>
    <w:p>
      <w:r>
        <w:t>- 11 - Nach Vorliegen der Untersuchungsergebnisse wird die IV-Stelle alsdann auch über den Anspruch auf berufliche Massnahmen und die Kostengutsprache für ein Elektrobett neu zu befinden haben.</w:t>
      </w:r>
    </w:p>
    <w:p>
      <w:r>
        <w:rPr>
          <w:b/>
        </w:rPr>
        <w:t>E. 6.1</w:t>
      </w:r>
    </w:p>
    <w:p>
      <w:r>
        <w:t>Das Beschwerdeverfahren bei Streitigkeiten um die Bewilligung oder die Verweige- rung von IV-Leistungen vor dem Kantonsgericht ist kostenpflichtig (Art. 69 Abs. 1bis IVG). Aufgrund des Verfahrensaufwandes werden die Kosten zu Lasten der IV-Stelle auf CHF 1'000 festgesetzt. Der Beschwerdeführerin ist der in der Höhe von CHF 1'000 geleistete Kostenvorschuss zurück zu erstatten.</w:t>
      </w:r>
    </w:p>
    <w:p>
      <w:r>
        <w:rPr>
          <w:b/>
        </w:rPr>
        <w:t>E. 6.2</w:t>
      </w:r>
    </w:p>
    <w:p>
      <w:r>
        <w:t>Bei diesem Ausgang des Verfahrens hat die Beschwerdeführerin einen Anspruch auf Parteientschädigung, die das Gericht unter Würdigung der Bedeutung und Schwie- rigkeit der Streitsache, des Umstandes, des Umfangs der Arbeitsleistung und in Berück- sichtigung der Tatsache, dass drei Beschwerden erhoben werden mussten, sowie der durch den Rechtstreit entstandenen Auslagen auf CHF 2’200 (inkl. Auslagen und Mehr- wertsteuer) festsetzt (Art. 61 lit. g ATSG; Art. 4 GTar).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